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DD" w:rsidRPr="000542DD" w:rsidRDefault="00DE3E81" w:rsidP="000542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Termenele</w:t>
      </w:r>
      <w:proofErr w:type="spellEnd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 xml:space="preserve">, </w:t>
      </w:r>
      <w:proofErr w:type="spellStart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costurile</w:t>
      </w:r>
      <w:proofErr w:type="spellEnd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 xml:space="preserve"> </w:t>
      </w:r>
      <w:proofErr w:type="spellStart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şi</w:t>
      </w:r>
      <w:proofErr w:type="spellEnd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 xml:space="preserve"> </w:t>
      </w:r>
      <w:proofErr w:type="spellStart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locul</w:t>
      </w:r>
      <w:proofErr w:type="spellEnd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 xml:space="preserve"> </w:t>
      </w:r>
      <w:proofErr w:type="spellStart"/>
      <w:r w:rsidR="000542DD"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eliberării</w:t>
      </w:r>
      <w:proofErr w:type="spellEnd"/>
    </w:p>
    <w:p w:rsidR="00DE3E81" w:rsidRPr="00DE3E81" w:rsidRDefault="00DE3E81" w:rsidP="000542D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avizului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privind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afirmarea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infirmarea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schimbării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familie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/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prenumelu</w:t>
      </w:r>
      <w:proofErr w:type="spellEnd"/>
    </w:p>
    <w:tbl>
      <w:tblPr>
        <w:tblW w:w="6750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4"/>
        <w:gridCol w:w="2814"/>
        <w:gridCol w:w="246"/>
        <w:gridCol w:w="926"/>
      </w:tblGrid>
      <w:tr w:rsidR="00DE3E81" w:rsidRPr="00DE3E81" w:rsidTr="00DE3E81">
        <w:trPr>
          <w:gridAfter w:val="2"/>
          <w:wAfter w:w="894" w:type="dxa"/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Termenele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Costul</w:t>
            </w:r>
            <w:proofErr w:type="spellEnd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serviciului</w:t>
            </w:r>
            <w:proofErr w:type="spellEnd"/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5663" w:type="dxa"/>
            <w:gridSpan w:val="4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În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mod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ordinar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2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5663" w:type="dxa"/>
            <w:gridSpan w:val="4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În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mod de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urgenţă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30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zile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40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15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120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5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200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24 ore</w:t>
            </w:r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280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400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DE3E81" w:rsidRPr="00DE3E81" w:rsidRDefault="00DE3E81" w:rsidP="000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avizului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privind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afirmarea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infirmarea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schimbării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familie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/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prenumelui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limba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străină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 </w:t>
      </w:r>
    </w:p>
    <w:tbl>
      <w:tblPr>
        <w:tblW w:w="6795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4"/>
        <w:gridCol w:w="2814"/>
        <w:gridCol w:w="255"/>
        <w:gridCol w:w="962"/>
      </w:tblGrid>
      <w:tr w:rsidR="00DE3E81" w:rsidRPr="00DE3E81" w:rsidTr="00DE3E81">
        <w:trPr>
          <w:gridAfter w:val="2"/>
          <w:wAfter w:w="894" w:type="dxa"/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Termenele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Costul</w:t>
            </w:r>
            <w:proofErr w:type="spellEnd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serviciului</w:t>
            </w:r>
            <w:proofErr w:type="spellEnd"/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5663" w:type="dxa"/>
            <w:gridSpan w:val="4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În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mod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ordinar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30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50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5663" w:type="dxa"/>
            <w:gridSpan w:val="4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În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 mod de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urgenţă</w:t>
            </w:r>
            <w:proofErr w:type="spellEnd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15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150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5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zile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250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24 ore</w:t>
            </w:r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350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DE3E81" w:rsidRPr="00DE3E81" w:rsidTr="00DE3E81">
        <w:trPr>
          <w:trHeight w:val="440"/>
          <w:tblCellSpacing w:w="22" w:type="dxa"/>
        </w:trPr>
        <w:tc>
          <w:tcPr>
            <w:tcW w:w="1363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1 </w:t>
            </w:r>
            <w:proofErr w:type="spellStart"/>
            <w:r w:rsidRPr="00DE3E81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400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E81" w:rsidRPr="00DE3E81" w:rsidRDefault="00DE3E81" w:rsidP="00DE3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542DD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500</w:t>
            </w:r>
            <w:r w:rsidRPr="00DE3E8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lei</w:t>
            </w: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E3E81" w:rsidRPr="00DE3E81" w:rsidRDefault="00DE3E81" w:rsidP="00DE3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DE3E81" w:rsidRPr="00DE3E81" w:rsidRDefault="00DE3E81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0542DD" w:rsidRDefault="000542DD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542DD" w:rsidRDefault="000542DD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542DD" w:rsidRDefault="000542DD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E3E81" w:rsidRPr="00DE3E81" w:rsidRDefault="00DE3E81" w:rsidP="00054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lastRenderedPageBreak/>
        <w:t>Serviciul</w:t>
      </w:r>
      <w:proofErr w:type="spellEnd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>poate</w:t>
      </w:r>
      <w:proofErr w:type="spellEnd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>fi</w:t>
      </w:r>
      <w:proofErr w:type="spellEnd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>solicitat</w:t>
      </w:r>
      <w:proofErr w:type="spellEnd"/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</w:rPr>
        <w:t>:</w:t>
      </w:r>
    </w:p>
    <w:p w:rsidR="00DE3E81" w:rsidRPr="00DE3E81" w:rsidRDefault="00DE3E81" w:rsidP="00DE3E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5" w:history="1"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la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Oficiul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</w:hyperlink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DE3E81" w:rsidRPr="00DE3E81" w:rsidRDefault="00DE3E81" w:rsidP="00DE3E8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cărui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rază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teritorială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sunteţi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domiciliaţi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care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executa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cererea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Dvs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intermediul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poştal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6" w:history="1">
        <w:proofErr w:type="gram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la</w:t>
        </w:r>
        <w:proofErr w:type="gram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Direcţia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audienţă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şi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eliberarea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documentelor</w:t>
        </w:r>
        <w:proofErr w:type="spellEnd"/>
      </w:hyperlink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Stare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Civilă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 (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mun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Chişinău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str. M.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Kogălniceanu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58A, tel. 257-185, 257-187, 257-189). </w:t>
      </w:r>
    </w:p>
    <w:p w:rsidR="00DE3E81" w:rsidRPr="00DE3E81" w:rsidRDefault="00DE3E81" w:rsidP="00DE3E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telefon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numărul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telefon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(022)25-70-70 (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specializat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al Î. S. "CRIS "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Registru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") </w:t>
      </w:r>
    </w:p>
    <w:p w:rsidR="00DE3E81" w:rsidRPr="00DE3E81" w:rsidRDefault="00DE3E81" w:rsidP="00DE3E8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prin</w:t>
      </w:r>
      <w:proofErr w:type="spellEnd"/>
      <w:proofErr w:type="gram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intermediul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7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Portalul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serviciilor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electronice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ale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Ministerului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 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Tehnologiilor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Informaţionale</w:t>
        </w:r>
        <w:proofErr w:type="spellEnd"/>
      </w:hyperlink>
      <w:hyperlink r:id="rId8" w:history="1"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 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şi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Comunicaţiilor</w:t>
        </w:r>
        <w:proofErr w:type="spellEnd"/>
      </w:hyperlink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0542DD" w:rsidRDefault="00DE3E81" w:rsidP="00054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*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În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conformitate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cu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Nomenclatorul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tarifele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la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serviciile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prestate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de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către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Serviciul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Stare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Civilă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oficiile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stare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civilă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(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aprobat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prin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Hotărîrea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Guvernului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 738 din 20.06.2008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publicată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în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Monitorul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Oficial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 112-114 din 27.06.2008)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Legea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taxei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de stat nr. 1216-XII din 03.12.1992 (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publicată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în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Monitorul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Oficial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 12/359 din 30.12.1992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republicată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în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Monitorul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Oficial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nr.53-55 din 02.04.2004).</w:t>
      </w:r>
      <w:bookmarkStart w:id="0" w:name="6"/>
      <w:bookmarkEnd w:id="0"/>
    </w:p>
    <w:p w:rsidR="00DE3E81" w:rsidRPr="00DE3E81" w:rsidRDefault="00DE3E81" w:rsidP="00054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Înlesniri</w:t>
      </w:r>
      <w:proofErr w:type="spellEnd"/>
    </w:p>
    <w:p w:rsidR="00DE3E81" w:rsidRPr="00DE3E81" w:rsidRDefault="00DE3E81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Sunt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scutiţi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plata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tarifului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serviciile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prestate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persoanele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fizice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invalizii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grupa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I, II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III-a;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participanţii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al II-lea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război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mondial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pensionarii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vîrstă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părinţii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au 3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mulţi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copiii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orfani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participanţii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lichidarea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consecinţelor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avariei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la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Cernobîl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cetăţenii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 care au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participat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la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conflictele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armate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în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interesul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 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Republicii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Moldova - 50 % din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costul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total al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; </w:t>
      </w:r>
    </w:p>
    <w:p w:rsidR="00DE3E81" w:rsidRPr="00DE3E81" w:rsidRDefault="00DE3E81" w:rsidP="00DE3E8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proofErr w:type="gram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cetăţenii</w:t>
      </w:r>
      <w:proofErr w:type="spellEnd"/>
      <w:proofErr w:type="gram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care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solicită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repetată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certificatelor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deces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numele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rudelor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represate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şi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ulterior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reabilitate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sau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pentru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substituirea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celor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eliberate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anterior.</w:t>
      </w:r>
    </w:p>
    <w:p w:rsidR="00DE3E81" w:rsidRPr="00DE3E81" w:rsidRDefault="00DE3E81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DE3E81" w:rsidRDefault="00DE3E81" w:rsidP="00054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*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În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conformitate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cu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Anexa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 3 la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Nomenclatorul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tarifele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la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serviciile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prestate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de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către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Serviciul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Stare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Civilă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oficiile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stare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civilă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(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aprobat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prin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Hotarîrea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Guvernului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 738 din 20.06.2008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şi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publicată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în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Monitorul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>Oficial</w:t>
      </w:r>
      <w:proofErr w:type="spellEnd"/>
      <w:r w:rsidRPr="000542DD">
        <w:rPr>
          <w:rFonts w:ascii="Times New Roman" w:eastAsia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 nr. 112-114 din 27.06.2008.</w:t>
      </w:r>
    </w:p>
    <w:p w:rsidR="000542DD" w:rsidRDefault="000542DD" w:rsidP="00054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0542DD" w:rsidRPr="00DE3E81" w:rsidRDefault="000542DD" w:rsidP="00054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p w:rsidR="00DE3E81" w:rsidRPr="00DE3E81" w:rsidRDefault="00DE3E81" w:rsidP="00DE3E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0542DD" w:rsidRDefault="000542DD" w:rsidP="00DE3E8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bookmarkStart w:id="1" w:name="7"/>
      <w:bookmarkEnd w:id="1"/>
    </w:p>
    <w:p w:rsidR="000542DD" w:rsidRDefault="000542DD" w:rsidP="00DE3E8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:rsidR="00DE3E81" w:rsidRPr="00DE3E81" w:rsidRDefault="000542DD" w:rsidP="000542D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</w:pPr>
      <w:proofErr w:type="spellStart"/>
      <w:r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lastRenderedPageBreak/>
        <w:t>Servicii</w:t>
      </w:r>
      <w:proofErr w:type="spellEnd"/>
      <w:r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 xml:space="preserve"> </w:t>
      </w:r>
      <w:proofErr w:type="spellStart"/>
      <w:r w:rsidRPr="000542D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complimentare</w:t>
      </w:r>
      <w:proofErr w:type="spellEnd"/>
    </w:p>
    <w:p w:rsidR="00DE3E81" w:rsidRPr="00DE3E81" w:rsidRDefault="00DE3E81" w:rsidP="000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 La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solicitarea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privind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eliberarea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extrasului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actul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stare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civilă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puteţi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beneficia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concomitent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de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următoarele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servicii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complimentare</w:t>
      </w:r>
      <w:proofErr w:type="spellEnd"/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:</w:t>
      </w:r>
    </w:p>
    <w:p w:rsidR="00DE3E81" w:rsidRPr="00DE3E81" w:rsidRDefault="00DE3E81" w:rsidP="00DE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9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Programarea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cetăţenilor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prin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legătură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telefonică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pentru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depunerea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cererilor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eliberare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documentelor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0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Întocmirea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către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OSC, SSC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cererii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solicitare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documentelor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1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Identificarea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către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SSC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actului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la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cererea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personală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scris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–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baza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registrelor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care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dispune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Direcţia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registre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Serviciului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2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Identificarea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către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SSC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actului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prin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legătură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telefonică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cu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oficiile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din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Republica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Moldova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3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Verificarea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prin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legătură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telefonică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cu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Direcţia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registre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sau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OSC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scopul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unor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precizări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şi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executări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competente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cererilor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4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Întocmirea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şi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expedierea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interpelărilor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solicitare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certificatului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şi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/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sau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extrasului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actul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respectiv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5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Organizarea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eliberării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documentelor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prin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intermediul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unui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contract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încheiat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cu Î.S. „POŞTA MOLDOVEI” </w:t>
        </w:r>
      </w:hyperlink>
    </w:p>
    <w:p w:rsidR="00DE3E81" w:rsidRPr="00DE3E81" w:rsidRDefault="00DE3E81" w:rsidP="00DE3E8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hyperlink r:id="rId16" w:history="1"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Prestarea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serviciilor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expediere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documentelor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stare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civilă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peste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hotarele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Republicii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Moldova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prin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intermediul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unui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contract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încheiat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cu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operatorii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de </w:t>
        </w:r>
        <w:proofErr w:type="spellStart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>poştă</w:t>
        </w:r>
        <w:proofErr w:type="spellEnd"/>
        <w:r w:rsidRPr="000542DD">
          <w:rPr>
            <w:rFonts w:ascii="Times New Roman" w:eastAsia="Times New Roman" w:hAnsi="Times New Roman" w:cs="Times New Roman"/>
            <w:color w:val="0D0D0D" w:themeColor="text1" w:themeTint="F2"/>
            <w:sz w:val="24"/>
            <w:szCs w:val="24"/>
            <w:u w:val="single"/>
          </w:rPr>
          <w:t xml:space="preserve"> </w:t>
        </w:r>
      </w:hyperlink>
    </w:p>
    <w:p w:rsidR="00DE3E81" w:rsidRPr="00DE3E81" w:rsidRDefault="00DE3E81" w:rsidP="00DE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 </w:t>
      </w:r>
    </w:p>
    <w:p w:rsidR="00675520" w:rsidRDefault="00DE3E81" w:rsidP="000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E3E8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 </w:t>
      </w:r>
      <w:proofErr w:type="spellStart"/>
      <w:r w:rsidR="000542DD" w:rsidRPr="000542D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Sursa</w:t>
      </w:r>
      <w:proofErr w:type="spellEnd"/>
      <w:r w:rsidR="000542DD" w:rsidRPr="000542D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  <w:hyperlink r:id="rId17" w:history="1">
        <w:r w:rsidR="000542DD" w:rsidRPr="00C47C9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www.stare-civila.gov.md</w:t>
        </w:r>
      </w:hyperlink>
    </w:p>
    <w:p w:rsidR="000542DD" w:rsidRPr="000542DD" w:rsidRDefault="000542DD" w:rsidP="000542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</w:p>
    <w:sectPr w:rsidR="000542DD" w:rsidRPr="000542DD" w:rsidSect="00152A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687"/>
    <w:multiLevelType w:val="multilevel"/>
    <w:tmpl w:val="C10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336E7"/>
    <w:multiLevelType w:val="multilevel"/>
    <w:tmpl w:val="D336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65546"/>
    <w:multiLevelType w:val="multilevel"/>
    <w:tmpl w:val="5418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B814CB"/>
    <w:multiLevelType w:val="multilevel"/>
    <w:tmpl w:val="DEF4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02B85"/>
    <w:multiLevelType w:val="multilevel"/>
    <w:tmpl w:val="85A8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E81"/>
    <w:rsid w:val="000542DD"/>
    <w:rsid w:val="000A3C44"/>
    <w:rsid w:val="00152AE5"/>
    <w:rsid w:val="001768BB"/>
    <w:rsid w:val="00DE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E5"/>
  </w:style>
  <w:style w:type="paragraph" w:styleId="Heading4">
    <w:name w:val="heading 4"/>
    <w:basedOn w:val="Normal"/>
    <w:link w:val="Heading4Char"/>
    <w:uiPriority w:val="9"/>
    <w:qFormat/>
    <w:rsid w:val="00DE3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E3E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8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E3E81"/>
    <w:rPr>
      <w:b/>
      <w:bCs/>
    </w:rPr>
  </w:style>
  <w:style w:type="character" w:styleId="Hyperlink">
    <w:name w:val="Hyperlink"/>
    <w:basedOn w:val="DefaultParagraphFont"/>
    <w:uiPriority w:val="99"/>
    <w:unhideWhenUsed/>
    <w:rsid w:val="00DE3E8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E3E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services.md/" TargetMode="External"/><Relationship Id="rId13" Type="http://schemas.openxmlformats.org/officeDocument/2006/relationships/hyperlink" Target="http://www.stare-civila.gov.md/pages/alte-servicii-precizarea-informati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services.md/" TargetMode="External"/><Relationship Id="rId12" Type="http://schemas.openxmlformats.org/officeDocument/2006/relationships/hyperlink" Target="http://www.stare-civila.gov.md/pages/alte-servicii-identificarea-actului-OSC" TargetMode="External"/><Relationship Id="rId17" Type="http://schemas.openxmlformats.org/officeDocument/2006/relationships/hyperlink" Target="http://www.stare-civila.gov.m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are-civila.gov.md/pages/alte-servicii-expedierea-peste-hota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are-civila.gov.md/pages/contacte-aparat-central" TargetMode="External"/><Relationship Id="rId11" Type="http://schemas.openxmlformats.org/officeDocument/2006/relationships/hyperlink" Target="http://www.stare-civila.gov.md/pages/alte-servicii-identificarea-actului" TargetMode="External"/><Relationship Id="rId5" Type="http://schemas.openxmlformats.org/officeDocument/2006/relationships/hyperlink" Target="http://www.stare-civila.gov.md/pages/subdiviziuni-osc" TargetMode="External"/><Relationship Id="rId15" Type="http://schemas.openxmlformats.org/officeDocument/2006/relationships/hyperlink" Target="http://www.stare-civila.gov.md/pages/alte-servicii-posta-moldovei" TargetMode="External"/><Relationship Id="rId10" Type="http://schemas.openxmlformats.org/officeDocument/2006/relationships/hyperlink" Target="http://www.stare-civila.gov.md/pages/alte-servicii-intocmirea-cererii-docume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are-civila.gov.md/pages/alte-servicii-programarea" TargetMode="External"/><Relationship Id="rId14" Type="http://schemas.openxmlformats.org/officeDocument/2006/relationships/hyperlink" Target="http://www.stare-civila.gov.md/pages/alte-servicii-interpelar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ecaterina.tutuescu</dc:creator>
  <cp:keywords/>
  <dc:description/>
  <cp:lastModifiedBy>ecaterina.tutuescu</cp:lastModifiedBy>
  <cp:revision>1</cp:revision>
  <dcterms:created xsi:type="dcterms:W3CDTF">2011-05-03T13:23:00Z</dcterms:created>
  <dcterms:modified xsi:type="dcterms:W3CDTF">2011-05-03T13:45:00Z</dcterms:modified>
</cp:coreProperties>
</file>